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F013C" w14:textId="69DA9CE2" w:rsidR="00CA11C2" w:rsidRPr="00B23848" w:rsidRDefault="008D0C96" w:rsidP="00CA11C2">
      <w:pPr>
        <w:bidi/>
        <w:spacing w:after="0"/>
        <w:rPr>
          <w:rFonts w:ascii="Porsche Next Arabic TT" w:hAnsi="Porsche Next Arabic TT" w:cs="Porsche Next Arabic TT"/>
          <w:sz w:val="22"/>
          <w:szCs w:val="22"/>
        </w:rPr>
      </w:pPr>
      <w:r w:rsidRPr="00B23848">
        <w:rPr>
          <w:rFonts w:ascii="Porsche Next Arabic TT" w:hAnsi="Porsche Next Arabic TT" w:cs="Porsche Next Arabic TT"/>
          <w:b/>
          <w:bCs/>
          <w:sz w:val="22"/>
          <w:szCs w:val="22"/>
          <w:rtl/>
        </w:rPr>
        <w:t xml:space="preserve">حدث بورشه الحصري للقيادة </w:t>
      </w:r>
      <w:r w:rsidR="00CA11C2" w:rsidRPr="00B23848">
        <w:rPr>
          <w:rFonts w:ascii="Porsche Next Arabic TT" w:hAnsi="Porsche Next Arabic TT" w:cs="Porsche Next Arabic TT"/>
          <w:b/>
          <w:bCs/>
          <w:sz w:val="22"/>
          <w:szCs w:val="22"/>
          <w:rtl/>
        </w:rPr>
        <w:t>في الرياض مع مجموعة طرازات موسّعة ومقارنات ديناميكية</w:t>
      </w:r>
    </w:p>
    <w:p w14:paraId="127CB1F5" w14:textId="77777777" w:rsidR="00CA11C2" w:rsidRPr="00B23848" w:rsidRDefault="00CA11C2" w:rsidP="00CA11C2">
      <w:pPr>
        <w:bidi/>
        <w:spacing w:after="0"/>
        <w:rPr>
          <w:rFonts w:ascii="Porsche Next Arabic TT" w:hAnsi="Porsche Next Arabic TT" w:cs="Porsche Next Arabic TT"/>
          <w:sz w:val="22"/>
          <w:szCs w:val="22"/>
        </w:rPr>
      </w:pPr>
    </w:p>
    <w:p w14:paraId="54C3B42F" w14:textId="77777777" w:rsidR="00CA11C2" w:rsidRPr="0013704C" w:rsidRDefault="00CA11C2" w:rsidP="00CA11C2">
      <w:pPr>
        <w:bidi/>
        <w:spacing w:after="0"/>
        <w:rPr>
          <w:rFonts w:ascii="Porsche Next Arabic TT" w:hAnsi="Porsche Next Arabic TT" w:cs="Porsche Next Arabic TT"/>
          <w:sz w:val="22"/>
          <w:szCs w:val="22"/>
        </w:rPr>
      </w:pPr>
      <w:r w:rsidRPr="0013704C">
        <w:rPr>
          <w:rFonts w:ascii="Porsche Next Arabic TT" w:hAnsi="Porsche Next Arabic TT" w:cs="Porsche Next Arabic TT"/>
          <w:b/>
          <w:bCs/>
          <w:sz w:val="22"/>
          <w:szCs w:val="22"/>
          <w:rtl/>
        </w:rPr>
        <w:t>الرياض</w:t>
      </w:r>
      <w:r w:rsidRPr="0013704C">
        <w:rPr>
          <w:rFonts w:ascii="Porsche Next Arabic TT" w:hAnsi="Porsche Next Arabic TT" w:cs="Porsche Next Arabic TT"/>
          <w:sz w:val="22"/>
          <w:szCs w:val="22"/>
          <w:rtl/>
        </w:rPr>
        <w:t>، 15 نوفمبر – عقب نجاح تجربة القيادة الحصرية التي أقيمت في فندق الريتز-كارلتون في سبتمبر، رفعت بورشه السعودية مستوى الحدث من خلال توسيع أسطول السيارات، مما منح الضيوف منظوراً أوسع حول مجموعة القوة المتنوعة وفلسفات الأداء الفريدة للعلامة</w:t>
      </w:r>
      <w:r w:rsidRPr="0013704C">
        <w:rPr>
          <w:rFonts w:ascii="Porsche Next Arabic TT" w:hAnsi="Porsche Next Arabic TT" w:cs="Porsche Next Arabic TT"/>
          <w:sz w:val="22"/>
          <w:szCs w:val="22"/>
        </w:rPr>
        <w:t>.</w:t>
      </w:r>
    </w:p>
    <w:p w14:paraId="72E4410B" w14:textId="77777777" w:rsidR="00CA11C2" w:rsidRPr="00B1422B" w:rsidRDefault="00CA11C2" w:rsidP="00CA11C2">
      <w:pPr>
        <w:bidi/>
        <w:rPr>
          <w:rFonts w:ascii="Porsche Next Arabic TT" w:hAnsi="Porsche Next Arabic TT" w:cs="Porsche Next Arabic TT"/>
          <w:sz w:val="22"/>
          <w:szCs w:val="22"/>
          <w:rtl/>
        </w:rPr>
      </w:pPr>
    </w:p>
    <w:p w14:paraId="39A03842" w14:textId="02A67D60" w:rsidR="00CA11C2" w:rsidRPr="0013704C" w:rsidRDefault="00CA11C2" w:rsidP="00CA11C2">
      <w:pPr>
        <w:bidi/>
        <w:spacing w:after="0"/>
        <w:rPr>
          <w:rFonts w:ascii="Porsche Next Arabic TT" w:hAnsi="Porsche Next Arabic TT" w:cs="Porsche Next Arabic TT"/>
          <w:sz w:val="22"/>
          <w:szCs w:val="22"/>
        </w:rPr>
      </w:pPr>
      <w:r w:rsidRPr="0013704C">
        <w:rPr>
          <w:rFonts w:ascii="Porsche Next Arabic TT" w:hAnsi="Porsche Next Arabic TT" w:cs="Porsche Next Arabic TT"/>
          <w:sz w:val="22"/>
          <w:szCs w:val="22"/>
          <w:rtl/>
        </w:rPr>
        <w:t xml:space="preserve">تحت </w:t>
      </w:r>
      <w:r w:rsidRPr="00B1422B">
        <w:rPr>
          <w:rFonts w:ascii="Porsche Next Arabic TT" w:hAnsi="Porsche Next Arabic TT" w:cs="Porsche Next Arabic TT"/>
          <w:sz w:val="22"/>
          <w:szCs w:val="22"/>
          <w:rtl/>
        </w:rPr>
        <w:t>شعار</w:t>
      </w:r>
      <w:r w:rsidR="00D6722A" w:rsidRPr="00B1422B">
        <w:rPr>
          <w:rFonts w:ascii="Porsche Next Arabic TT" w:hAnsi="Porsche Next Arabic TT" w:cs="Porsche Next Arabic TT" w:hint="cs"/>
          <w:sz w:val="22"/>
          <w:szCs w:val="22"/>
          <w:rtl/>
        </w:rPr>
        <w:t xml:space="preserve"> </w:t>
      </w:r>
      <w:r w:rsidRPr="0013704C">
        <w:rPr>
          <w:rFonts w:ascii="Porsche Next Arabic TT" w:hAnsi="Porsche Next Arabic TT" w:cs="Porsche Next Arabic TT"/>
          <w:sz w:val="22"/>
          <w:szCs w:val="22"/>
          <w:rtl/>
        </w:rPr>
        <w:t xml:space="preserve">"ما </w:t>
      </w:r>
      <w:r w:rsidRPr="00B1422B">
        <w:rPr>
          <w:rFonts w:ascii="Porsche Next Arabic TT" w:hAnsi="Porsche Next Arabic TT" w:cs="Porsche Next Arabic TT"/>
          <w:sz w:val="22"/>
          <w:szCs w:val="22"/>
          <w:rtl/>
        </w:rPr>
        <w:t>هو شغفك؟</w:t>
      </w:r>
      <w:r w:rsidRPr="0013704C">
        <w:rPr>
          <w:rFonts w:ascii="Porsche Next Arabic TT" w:hAnsi="Porsche Next Arabic TT" w:cs="Porsche Next Arabic TT"/>
          <w:sz w:val="22"/>
          <w:szCs w:val="22"/>
          <w:rtl/>
        </w:rPr>
        <w:t xml:space="preserve">"، قامت بورشه بتعزيز التجربة عبر زيادة الأسطول ليشمل مجموعة أكبر من أيقونات الأداء، مع مقارنة المحركات التقليدية بالسيارات الكهربائية الحديثة. وقد قدّم مدربو بورشه المعتمدون للقيادة إرشادات للضيوف، </w:t>
      </w:r>
      <w:r w:rsidR="001C71AF" w:rsidRPr="00B1422B">
        <w:rPr>
          <w:rFonts w:ascii="Porsche Next Arabic TT" w:hAnsi="Porsche Next Arabic TT" w:cs="Porsche Next Arabic TT" w:hint="cs"/>
          <w:sz w:val="22"/>
          <w:szCs w:val="22"/>
          <w:rtl/>
        </w:rPr>
        <w:t>حول</w:t>
      </w:r>
      <w:r w:rsidRPr="0013704C">
        <w:rPr>
          <w:rFonts w:ascii="Porsche Next Arabic TT" w:hAnsi="Porsche Next Arabic TT" w:cs="Porsche Next Arabic TT"/>
          <w:sz w:val="22"/>
          <w:szCs w:val="22"/>
          <w:rtl/>
        </w:rPr>
        <w:t xml:space="preserve"> خصائص ديناميكيات القيادة والتحكم والتقنيات المبتكرة التي تميز تجربة القيادة مع بورشه</w:t>
      </w:r>
      <w:r w:rsidRPr="0013704C">
        <w:rPr>
          <w:rFonts w:ascii="Porsche Next Arabic TT" w:hAnsi="Porsche Next Arabic TT" w:cs="Porsche Next Arabic TT"/>
          <w:sz w:val="22"/>
          <w:szCs w:val="22"/>
        </w:rPr>
        <w:t>.</w:t>
      </w:r>
    </w:p>
    <w:p w14:paraId="529B2028" w14:textId="77777777" w:rsidR="00CA11C2" w:rsidRPr="00B1422B" w:rsidRDefault="00CA11C2" w:rsidP="00CA11C2">
      <w:pPr>
        <w:bidi/>
        <w:rPr>
          <w:rFonts w:ascii="Porsche Next Arabic TT" w:hAnsi="Porsche Next Arabic TT" w:cs="Porsche Next Arabic TT"/>
          <w:sz w:val="22"/>
          <w:szCs w:val="22"/>
          <w:rtl/>
        </w:rPr>
      </w:pPr>
    </w:p>
    <w:p w14:paraId="242D72C1" w14:textId="5058512E" w:rsidR="00CA11C2" w:rsidRPr="0013704C" w:rsidRDefault="00CA11C2" w:rsidP="00CA11C2">
      <w:pPr>
        <w:bidi/>
        <w:spacing w:after="0"/>
        <w:rPr>
          <w:rFonts w:ascii="Porsche Next Arabic TT" w:hAnsi="Porsche Next Arabic TT" w:cs="Porsche Next Arabic TT"/>
          <w:sz w:val="22"/>
          <w:szCs w:val="22"/>
        </w:rPr>
      </w:pPr>
      <w:r w:rsidRPr="0013704C">
        <w:rPr>
          <w:rFonts w:ascii="Porsche Next Arabic TT" w:hAnsi="Porsche Next Arabic TT" w:cs="Porsche Next Arabic TT"/>
          <w:sz w:val="22"/>
          <w:szCs w:val="22"/>
          <w:rtl/>
        </w:rPr>
        <w:t>إضافةً إلى الطرازات الأربعة، وفّرت التجربة الموسّعة للضيوف فرصة استكشاف مجموعة أوسع من خصائص الأداء. وشمل أسطول الطرازات كل من م</w:t>
      </w:r>
      <w:r w:rsidR="002462BF" w:rsidRPr="00B1422B">
        <w:rPr>
          <w:rFonts w:ascii="Porsche Next Arabic TT" w:hAnsi="Porsche Next Arabic TT" w:cs="Porsche Next Arabic TT" w:hint="cs"/>
          <w:sz w:val="22"/>
          <w:szCs w:val="22"/>
          <w:rtl/>
        </w:rPr>
        <w:t>َ</w:t>
      </w:r>
      <w:r w:rsidRPr="0013704C">
        <w:rPr>
          <w:rFonts w:ascii="Porsche Next Arabic TT" w:hAnsi="Porsche Next Arabic TT" w:cs="Porsche Next Arabic TT"/>
          <w:sz w:val="22"/>
          <w:szCs w:val="22"/>
          <w:rtl/>
        </w:rPr>
        <w:t xml:space="preserve">كان  </w:t>
      </w:r>
      <w:r w:rsidR="005A1DCC" w:rsidRPr="00B1422B">
        <w:rPr>
          <w:rFonts w:ascii="Porsche Next Arabic TT" w:hAnsi="Porsche Next Arabic TT" w:cs="Porsche Next Arabic TT" w:hint="cs"/>
          <w:sz w:val="22"/>
          <w:szCs w:val="22"/>
          <w:rtl/>
        </w:rPr>
        <w:t xml:space="preserve">و </w:t>
      </w:r>
      <w:r w:rsidRPr="0013704C">
        <w:rPr>
          <w:rFonts w:ascii="Porsche Next Arabic TT" w:hAnsi="Porsche Next Arabic TT" w:cs="Porsche Next Arabic TT"/>
          <w:sz w:val="22"/>
          <w:szCs w:val="22"/>
          <w:rtl/>
        </w:rPr>
        <w:t>م</w:t>
      </w:r>
      <w:r w:rsidR="002462BF" w:rsidRPr="00B1422B">
        <w:rPr>
          <w:rFonts w:ascii="Porsche Next Arabic TT" w:hAnsi="Porsche Next Arabic TT" w:cs="Porsche Next Arabic TT" w:hint="cs"/>
          <w:sz w:val="22"/>
          <w:szCs w:val="22"/>
          <w:rtl/>
        </w:rPr>
        <w:t>َ</w:t>
      </w:r>
      <w:r w:rsidRPr="0013704C">
        <w:rPr>
          <w:rFonts w:ascii="Porsche Next Arabic TT" w:hAnsi="Porsche Next Arabic TT" w:cs="Porsche Next Arabic TT"/>
          <w:sz w:val="22"/>
          <w:szCs w:val="22"/>
          <w:rtl/>
        </w:rPr>
        <w:t>كان الكهربائي</w:t>
      </w:r>
      <w:r w:rsidR="005A1DCC" w:rsidRPr="00B1422B">
        <w:rPr>
          <w:rFonts w:ascii="Porsche Next Arabic TT" w:hAnsi="Porsche Next Arabic TT" w:cs="Porsche Next Arabic TT" w:hint="cs"/>
          <w:sz w:val="22"/>
          <w:szCs w:val="22"/>
          <w:rtl/>
        </w:rPr>
        <w:t>ة</w:t>
      </w:r>
      <w:r w:rsidRPr="0013704C">
        <w:rPr>
          <w:rFonts w:ascii="Porsche Next Arabic TT" w:hAnsi="Porsche Next Arabic TT" w:cs="Porsche Next Arabic TT"/>
          <w:sz w:val="22"/>
          <w:szCs w:val="22"/>
          <w:rtl/>
        </w:rPr>
        <w:t xml:space="preserve"> الجديد</w:t>
      </w:r>
      <w:r w:rsidR="005A1DCC" w:rsidRPr="00B1422B">
        <w:rPr>
          <w:rFonts w:ascii="Porsche Next Arabic TT" w:hAnsi="Porsche Next Arabic TT" w:cs="Porsche Next Arabic TT" w:hint="cs"/>
          <w:sz w:val="22"/>
          <w:szCs w:val="22"/>
          <w:rtl/>
        </w:rPr>
        <w:t>ة</w:t>
      </w:r>
      <w:r w:rsidRPr="0013704C">
        <w:rPr>
          <w:rFonts w:ascii="Porsche Next Arabic TT" w:hAnsi="Porsche Next Arabic TT" w:cs="Porsche Next Arabic TT"/>
          <w:sz w:val="22"/>
          <w:szCs w:val="22"/>
          <w:rtl/>
        </w:rPr>
        <w:t>، إلى جانب تايكان وباناميرا الكهربائية المبهرة، وتمتد التجربة كذلك لتشمل المقارنة بين كايين وم</w:t>
      </w:r>
      <w:r w:rsidR="005A1DCC" w:rsidRPr="00B1422B">
        <w:rPr>
          <w:rFonts w:ascii="Porsche Next Arabic TT" w:hAnsi="Porsche Next Arabic TT" w:cs="Porsche Next Arabic TT" w:hint="cs"/>
          <w:sz w:val="22"/>
          <w:szCs w:val="22"/>
          <w:rtl/>
        </w:rPr>
        <w:t>َ</w:t>
      </w:r>
      <w:r w:rsidRPr="0013704C">
        <w:rPr>
          <w:rFonts w:ascii="Porsche Next Arabic TT" w:hAnsi="Porsche Next Arabic TT" w:cs="Porsche Next Arabic TT"/>
          <w:sz w:val="22"/>
          <w:szCs w:val="22"/>
          <w:rtl/>
        </w:rPr>
        <w:t>كان الكهربائي</w:t>
      </w:r>
      <w:r w:rsidR="005A1DCC" w:rsidRPr="00B1422B">
        <w:rPr>
          <w:rFonts w:ascii="Porsche Next Arabic TT" w:hAnsi="Porsche Next Arabic TT" w:cs="Porsche Next Arabic TT" w:hint="cs"/>
          <w:sz w:val="22"/>
          <w:szCs w:val="22"/>
          <w:rtl/>
        </w:rPr>
        <w:t>ة</w:t>
      </w:r>
      <w:r w:rsidRPr="0013704C">
        <w:rPr>
          <w:rFonts w:ascii="Porsche Next Arabic TT" w:hAnsi="Porsche Next Arabic TT" w:cs="Porsche Next Arabic TT"/>
          <w:sz w:val="22"/>
          <w:szCs w:val="22"/>
          <w:rtl/>
        </w:rPr>
        <w:t>. واختتمت التجربة بالطراز الأيقوني 911 كاريرا الذي قدم تجربة قيادة مستقلة وفريدة</w:t>
      </w:r>
      <w:r w:rsidRPr="0013704C">
        <w:rPr>
          <w:rFonts w:ascii="Porsche Next Arabic TT" w:hAnsi="Porsche Next Arabic TT" w:cs="Porsche Next Arabic TT"/>
          <w:sz w:val="22"/>
          <w:szCs w:val="22"/>
        </w:rPr>
        <w:t>.</w:t>
      </w:r>
    </w:p>
    <w:p w14:paraId="7E980FE1" w14:textId="77777777" w:rsidR="00CA11C2" w:rsidRPr="00B1422B" w:rsidRDefault="00CA11C2" w:rsidP="00CA11C2">
      <w:pPr>
        <w:bidi/>
        <w:rPr>
          <w:rFonts w:ascii="Porsche Next Arabic TT" w:hAnsi="Porsche Next Arabic TT" w:cs="Porsche Next Arabic TT"/>
          <w:sz w:val="22"/>
          <w:szCs w:val="22"/>
          <w:rtl/>
        </w:rPr>
      </w:pPr>
    </w:p>
    <w:p w14:paraId="2AA62CAA" w14:textId="77777777" w:rsidR="00CA11C2" w:rsidRPr="0013704C" w:rsidRDefault="00CA11C2" w:rsidP="00CA11C2">
      <w:pPr>
        <w:bidi/>
        <w:spacing w:after="0"/>
        <w:rPr>
          <w:rFonts w:ascii="Porsche Next Arabic TT" w:hAnsi="Porsche Next Arabic TT" w:cs="Porsche Next Arabic TT"/>
          <w:sz w:val="22"/>
          <w:szCs w:val="22"/>
        </w:rPr>
      </w:pPr>
      <w:r w:rsidRPr="0013704C">
        <w:rPr>
          <w:rFonts w:ascii="Porsche Next Arabic TT" w:hAnsi="Porsche Next Arabic TT" w:cs="Porsche Next Arabic TT"/>
          <w:sz w:val="22"/>
          <w:szCs w:val="22"/>
          <w:rtl/>
        </w:rPr>
        <w:t>تسلّط هذه المجموعة الموسّعة الضوء على تطور بورشه من هندسة المحركات التقليدية إلى الابتكار الكهربائي المتقدم، مع إبراز التنوع وسهولة الاستخدام اليومية والجاذبية الحياتية الفريدة التي تميز كل طراز من طرازات بورشه</w:t>
      </w:r>
      <w:r w:rsidRPr="0013704C">
        <w:rPr>
          <w:rFonts w:ascii="Porsche Next Arabic TT" w:hAnsi="Porsche Next Arabic TT" w:cs="Porsche Next Arabic TT"/>
          <w:sz w:val="22"/>
          <w:szCs w:val="22"/>
        </w:rPr>
        <w:t>.</w:t>
      </w:r>
    </w:p>
    <w:p w14:paraId="197895AC" w14:textId="77777777" w:rsidR="003852E0" w:rsidRPr="00B1422B" w:rsidRDefault="003852E0" w:rsidP="003852E0">
      <w:pPr>
        <w:bidi/>
        <w:spacing w:after="0"/>
        <w:rPr>
          <w:rFonts w:ascii="Helvetica Neue" w:eastAsia="Helvetica Neue" w:hAnsi="Helvetica Neue" w:cs="Helvetica Neue"/>
          <w:color w:val="000000" w:themeColor="text1"/>
          <w:sz w:val="22"/>
          <w:szCs w:val="22"/>
        </w:rPr>
      </w:pPr>
    </w:p>
    <w:p w14:paraId="1A49B8C5" w14:textId="77777777" w:rsidR="00AE3C6A" w:rsidRPr="00B1422B" w:rsidRDefault="00AE3C6A" w:rsidP="002D5C73">
      <w:pPr>
        <w:bidi/>
        <w:spacing w:after="0" w:line="240" w:lineRule="auto"/>
        <w:rPr>
          <w:rFonts w:ascii="Porsche Next Arabic TT" w:hAnsi="Porsche Next Arabic TT" w:cs="Porsche Next Arabic TT"/>
          <w:color w:val="808080" w:themeColor="background1" w:themeShade="80"/>
          <w:sz w:val="22"/>
          <w:szCs w:val="22"/>
        </w:rPr>
      </w:pPr>
      <w:r w:rsidRPr="00B1422B">
        <w:rPr>
          <w:rFonts w:ascii="Porsche Next Arabic TT" w:hAnsi="Porsche Next Arabic TT" w:cs="Porsche Next Arabic TT"/>
          <w:color w:val="808080" w:themeColor="background1" w:themeShade="80"/>
          <w:sz w:val="22"/>
          <w:szCs w:val="22"/>
          <w:rtl/>
        </w:rPr>
        <w:t>النهاية</w:t>
      </w:r>
    </w:p>
    <w:p w14:paraId="1942255A" w14:textId="77777777" w:rsidR="00AE3C6A" w:rsidRPr="00B1422B" w:rsidRDefault="00AE3C6A" w:rsidP="00AE3C6A">
      <w:pPr>
        <w:bidi/>
        <w:rPr>
          <w:rFonts w:ascii="Porsche Next Arabic TT" w:hAnsi="Porsche Next Arabic TT" w:cs="Porsche Next Arabic TT"/>
          <w:sz w:val="22"/>
          <w:szCs w:val="22"/>
        </w:rPr>
      </w:pPr>
    </w:p>
    <w:p w14:paraId="62F4AFA4" w14:textId="6A2CD3C5" w:rsidR="00B35C83" w:rsidRPr="00B1422B" w:rsidRDefault="00B35C83" w:rsidP="00AE3C6A">
      <w:pPr>
        <w:bidi/>
        <w:spacing w:before="240" w:after="240"/>
        <w:rPr>
          <w:rFonts w:ascii="Calibri Light" w:eastAsia="Calibri Light" w:hAnsi="Calibri Light" w:cs="Calibri Light"/>
          <w:b/>
          <w:bCs/>
          <w:sz w:val="22"/>
          <w:szCs w:val="22"/>
        </w:rPr>
      </w:pPr>
    </w:p>
    <w:sectPr w:rsidR="00B35C83" w:rsidRPr="00B1422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D0BE1" w14:textId="77777777" w:rsidR="005F1ECF" w:rsidRDefault="005F1ECF" w:rsidP="008C249C">
      <w:pPr>
        <w:spacing w:after="0" w:line="240" w:lineRule="auto"/>
      </w:pPr>
      <w:r>
        <w:separator/>
      </w:r>
    </w:p>
  </w:endnote>
  <w:endnote w:type="continuationSeparator" w:id="0">
    <w:p w14:paraId="2041AE05" w14:textId="77777777" w:rsidR="005F1ECF" w:rsidRDefault="005F1ECF" w:rsidP="008C2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MT">
    <w:altName w:val="Arial"/>
    <w:panose1 w:val="00000000000000000000"/>
    <w:charset w:val="00"/>
    <w:family w:val="modern"/>
    <w:notTrueType/>
    <w:pitch w:val="variable"/>
    <w:sig w:usb0="00000003" w:usb1="00000000" w:usb2="00000000" w:usb3="00000000" w:csb0="00000001" w:csb1="00000000"/>
  </w:font>
  <w:font w:name="Porsche Next Arabic TT">
    <w:panose1 w:val="020B0504020101010102"/>
    <w:charset w:val="00"/>
    <w:family w:val="swiss"/>
    <w:pitch w:val="variable"/>
    <w:sig w:usb0="A10020FF" w:usb1="C000E07B" w:usb2="00000008" w:usb3="00000000" w:csb0="00000093"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ook w:val="04A0" w:firstRow="1" w:lastRow="0" w:firstColumn="1" w:lastColumn="0" w:noHBand="0" w:noVBand="1"/>
    </w:tblPr>
    <w:tblGrid>
      <w:gridCol w:w="4469"/>
      <w:gridCol w:w="317"/>
      <w:gridCol w:w="4500"/>
    </w:tblGrid>
    <w:tr w:rsidR="006C0307" w:rsidRPr="00E037AB" w14:paraId="1335B0D9" w14:textId="77777777" w:rsidTr="009154C4">
      <w:tc>
        <w:tcPr>
          <w:tcW w:w="4469" w:type="dxa"/>
        </w:tcPr>
        <w:p w14:paraId="27A0CAF2" w14:textId="77777777" w:rsidR="006C0307" w:rsidRPr="00C4761C" w:rsidRDefault="006C0307" w:rsidP="006C0307">
          <w:pPr>
            <w:pStyle w:val="Presse-Fuzeile"/>
            <w:pBdr>
              <w:bottom w:val="none" w:sz="0" w:space="0" w:color="auto"/>
            </w:pBdr>
            <w:tabs>
              <w:tab w:val="left" w:pos="4253"/>
              <w:tab w:val="left" w:pos="6521"/>
            </w:tabs>
            <w:bidi/>
            <w:rPr>
              <w:rFonts w:ascii="Arial" w:hAnsi="Arial" w:cs="Arial"/>
              <w:sz w:val="16"/>
              <w:szCs w:val="16"/>
              <w:lang w:val="en-GB"/>
            </w:rPr>
          </w:pPr>
          <w:r w:rsidRPr="00C4761C">
            <w:rPr>
              <w:rFonts w:ascii="Arial" w:hAnsi="Arial" w:cs="Arial" w:hint="cs"/>
              <w:sz w:val="16"/>
              <w:szCs w:val="16"/>
              <w:rtl/>
              <w:lang w:val="en-GB"/>
            </w:rPr>
            <w:t xml:space="preserve">مدير </w:t>
          </w:r>
          <w:r w:rsidRPr="00C4761C">
            <w:rPr>
              <w:rFonts w:ascii="Arial" w:hAnsi="Arial" w:cs="Arial" w:hint="cs"/>
              <w:sz w:val="16"/>
              <w:szCs w:val="16"/>
              <w:rtl/>
              <w:lang w:val="en-GB"/>
            </w:rPr>
            <w:t>التسويق</w:t>
          </w:r>
        </w:p>
      </w:tc>
      <w:tc>
        <w:tcPr>
          <w:tcW w:w="317" w:type="dxa"/>
        </w:tcPr>
        <w:p w14:paraId="5E967F74" w14:textId="77777777" w:rsidR="006C0307" w:rsidRPr="00C4761C" w:rsidRDefault="006C0307" w:rsidP="006C0307">
          <w:pPr>
            <w:pStyle w:val="Footer"/>
            <w:jc w:val="center"/>
            <w:rPr>
              <w:rFonts w:ascii="Arial" w:eastAsia="Arial MT" w:hAnsi="Arial" w:cs="Arial"/>
              <w:sz w:val="16"/>
              <w:szCs w:val="16"/>
              <w:lang w:val="en-GB"/>
            </w:rPr>
          </w:pPr>
          <w:r w:rsidRPr="00C4761C">
            <w:rPr>
              <w:rFonts w:ascii="Arial" w:eastAsia="Arial MT" w:hAnsi="Arial" w:cs="Arial"/>
              <w:sz w:val="16"/>
              <w:szCs w:val="16"/>
              <w:rtl/>
              <w:lang w:val="en-GB"/>
            </w:rPr>
            <w:fldChar w:fldCharType="begin"/>
          </w:r>
          <w:r w:rsidRPr="00C4761C">
            <w:rPr>
              <w:rFonts w:ascii="Arial" w:eastAsia="Arial MT" w:hAnsi="Arial" w:cs="Arial"/>
              <w:sz w:val="16"/>
              <w:szCs w:val="16"/>
              <w:lang w:val="en-GB"/>
            </w:rPr>
            <w:instrText xml:space="preserve"> PAGE   \* MERGEFORMAT </w:instrText>
          </w:r>
          <w:r w:rsidRPr="00C4761C">
            <w:rPr>
              <w:rFonts w:ascii="Arial" w:eastAsia="Arial MT" w:hAnsi="Arial" w:cs="Arial"/>
              <w:sz w:val="16"/>
              <w:szCs w:val="16"/>
              <w:rtl/>
              <w:lang w:val="en-GB"/>
            </w:rPr>
            <w:fldChar w:fldCharType="separate"/>
          </w:r>
          <w:r w:rsidRPr="00C4761C">
            <w:rPr>
              <w:rFonts w:ascii="Arial" w:eastAsia="Arial MT" w:hAnsi="Arial" w:cs="Arial"/>
              <w:sz w:val="16"/>
              <w:szCs w:val="16"/>
              <w:lang w:val="en-GB"/>
            </w:rPr>
            <w:t>1</w:t>
          </w:r>
          <w:r w:rsidRPr="00C4761C">
            <w:rPr>
              <w:rFonts w:ascii="Arial" w:eastAsia="Arial MT" w:hAnsi="Arial" w:cs="Arial"/>
              <w:sz w:val="16"/>
              <w:szCs w:val="16"/>
              <w:rtl/>
              <w:lang w:val="en-GB"/>
            </w:rPr>
            <w:fldChar w:fldCharType="end"/>
          </w:r>
        </w:p>
      </w:tc>
      <w:tc>
        <w:tcPr>
          <w:tcW w:w="4500" w:type="dxa"/>
        </w:tcPr>
        <w:p w14:paraId="4EA4614D" w14:textId="77777777" w:rsidR="006C0307" w:rsidRPr="00C4761C" w:rsidRDefault="006C0307" w:rsidP="006C0307">
          <w:pPr>
            <w:pStyle w:val="Presse-Fuzeile"/>
            <w:pBdr>
              <w:bottom w:val="none" w:sz="0" w:space="0" w:color="auto"/>
            </w:pBdr>
            <w:tabs>
              <w:tab w:val="left" w:pos="6521"/>
            </w:tabs>
            <w:bidi/>
            <w:rPr>
              <w:rFonts w:ascii="Arial" w:hAnsi="Arial" w:cs="Arial"/>
              <w:sz w:val="16"/>
              <w:szCs w:val="16"/>
              <w:lang w:val="en-GB"/>
            </w:rPr>
          </w:pPr>
          <w:r w:rsidRPr="00C4761C">
            <w:rPr>
              <w:rFonts w:ascii="Arial" w:hAnsi="Arial" w:cs="Arial"/>
              <w:sz w:val="16"/>
              <w:szCs w:val="16"/>
              <w:rtl/>
              <w:lang w:val="en-GB"/>
            </w:rPr>
            <w:t xml:space="preserve">بورشه </w:t>
          </w:r>
          <w:r w:rsidRPr="00C4761C">
            <w:rPr>
              <w:rFonts w:ascii="Arial" w:hAnsi="Arial" w:cs="Arial" w:hint="cs"/>
              <w:sz w:val="16"/>
              <w:szCs w:val="16"/>
              <w:rtl/>
              <w:lang w:val="en-GB"/>
            </w:rPr>
            <w:t>السعودية</w:t>
          </w:r>
        </w:p>
      </w:tc>
    </w:tr>
    <w:tr w:rsidR="006C0307" w:rsidRPr="00E037AB" w14:paraId="6F445179" w14:textId="77777777" w:rsidTr="009154C4">
      <w:tc>
        <w:tcPr>
          <w:tcW w:w="4469" w:type="dxa"/>
        </w:tcPr>
        <w:p w14:paraId="0DCE4190" w14:textId="77777777" w:rsidR="006C0307" w:rsidRPr="00C4761C" w:rsidRDefault="006C0307" w:rsidP="006C0307">
          <w:pPr>
            <w:pStyle w:val="Presse-Fuzeile"/>
            <w:pBdr>
              <w:bottom w:val="none" w:sz="0" w:space="0" w:color="auto"/>
            </w:pBdr>
            <w:tabs>
              <w:tab w:val="left" w:pos="4253"/>
              <w:tab w:val="left" w:pos="6521"/>
            </w:tabs>
            <w:bidi/>
            <w:rPr>
              <w:rFonts w:ascii="Arial" w:hAnsi="Arial" w:cs="Arial"/>
              <w:sz w:val="16"/>
              <w:szCs w:val="16"/>
              <w:lang w:val="en-GB"/>
            </w:rPr>
          </w:pPr>
          <w:r w:rsidRPr="00C4761C">
            <w:rPr>
              <w:rFonts w:ascii="Arial" w:hAnsi="Arial" w:cs="Arial" w:hint="cs"/>
              <w:sz w:val="16"/>
              <w:szCs w:val="16"/>
              <w:rtl/>
              <w:lang w:val="en-GB"/>
            </w:rPr>
            <w:t>عبد الرحمن بسيوني</w:t>
          </w:r>
        </w:p>
      </w:tc>
      <w:tc>
        <w:tcPr>
          <w:tcW w:w="317" w:type="dxa"/>
        </w:tcPr>
        <w:p w14:paraId="3CB5E4CA" w14:textId="77777777" w:rsidR="006C0307" w:rsidRPr="00C4761C" w:rsidRDefault="006C0307" w:rsidP="006C0307">
          <w:pPr>
            <w:pStyle w:val="Presse-Fuzeile"/>
            <w:pBdr>
              <w:bottom w:val="none" w:sz="0" w:space="0" w:color="auto"/>
            </w:pBdr>
            <w:tabs>
              <w:tab w:val="left" w:pos="4253"/>
              <w:tab w:val="left" w:pos="6521"/>
            </w:tabs>
            <w:bidi/>
            <w:rPr>
              <w:rFonts w:ascii="Arial" w:hAnsi="Arial" w:cs="Arial"/>
              <w:sz w:val="16"/>
              <w:szCs w:val="16"/>
              <w:lang w:val="en-GB"/>
            </w:rPr>
          </w:pPr>
        </w:p>
      </w:tc>
      <w:tc>
        <w:tcPr>
          <w:tcW w:w="4500" w:type="dxa"/>
        </w:tcPr>
        <w:p w14:paraId="2916EB0E" w14:textId="77777777" w:rsidR="006C0307" w:rsidRPr="00C4761C" w:rsidRDefault="006C0307" w:rsidP="006C0307">
          <w:pPr>
            <w:pStyle w:val="Presse-Fuzeile"/>
            <w:pBdr>
              <w:bottom w:val="none" w:sz="0" w:space="0" w:color="auto"/>
            </w:pBdr>
            <w:tabs>
              <w:tab w:val="left" w:pos="6521"/>
            </w:tabs>
            <w:bidi/>
            <w:rPr>
              <w:rFonts w:ascii="Arial" w:hAnsi="Arial" w:cs="Arial"/>
              <w:sz w:val="16"/>
              <w:szCs w:val="16"/>
              <w:lang w:val="en-GB"/>
            </w:rPr>
          </w:pPr>
          <w:r w:rsidRPr="00C4761C">
            <w:rPr>
              <w:rFonts w:ascii="Arial" w:hAnsi="Arial" w:cs="Arial"/>
              <w:sz w:val="16"/>
              <w:szCs w:val="16"/>
              <w:rtl/>
              <w:lang w:val="en-GB"/>
            </w:rPr>
            <w:t xml:space="preserve">صندوق البريد </w:t>
          </w:r>
          <w:r w:rsidRPr="00C4761C">
            <w:rPr>
              <w:rFonts w:ascii="Arial" w:hAnsi="Arial" w:cs="Arial"/>
              <w:sz w:val="16"/>
              <w:szCs w:val="16"/>
              <w:lang w:val="en-GB"/>
            </w:rPr>
            <w:t>58295</w:t>
          </w:r>
          <w:r w:rsidRPr="00C4761C">
            <w:rPr>
              <w:rFonts w:ascii="Arial" w:hAnsi="Arial" w:cs="Arial" w:hint="cs"/>
              <w:sz w:val="16"/>
              <w:szCs w:val="16"/>
              <w:rtl/>
              <w:lang w:val="en-GB"/>
            </w:rPr>
            <w:t xml:space="preserve"> </w:t>
          </w:r>
          <w:r w:rsidRPr="00C4761C">
            <w:rPr>
              <w:rFonts w:ascii="Arial" w:hAnsi="Arial" w:cs="Arial"/>
              <w:sz w:val="16"/>
              <w:szCs w:val="16"/>
              <w:lang w:val="en-GB"/>
            </w:rPr>
            <w:t xml:space="preserve">                  </w:t>
          </w:r>
        </w:p>
      </w:tc>
    </w:tr>
    <w:tr w:rsidR="006C0307" w:rsidRPr="00E037AB" w14:paraId="386C7FF9" w14:textId="77777777" w:rsidTr="009154C4">
      <w:tc>
        <w:tcPr>
          <w:tcW w:w="4469" w:type="dxa"/>
        </w:tcPr>
        <w:p w14:paraId="2AF6838C" w14:textId="77777777" w:rsidR="006C0307" w:rsidRPr="00C4761C" w:rsidRDefault="006C0307" w:rsidP="006C0307">
          <w:pPr>
            <w:pStyle w:val="Presse-Fuzeile"/>
            <w:pBdr>
              <w:bottom w:val="none" w:sz="0" w:space="0" w:color="auto"/>
            </w:pBdr>
            <w:tabs>
              <w:tab w:val="left" w:pos="4253"/>
              <w:tab w:val="left" w:pos="6521"/>
            </w:tabs>
            <w:bidi/>
            <w:jc w:val="both"/>
            <w:rPr>
              <w:rFonts w:ascii="Arial" w:hAnsi="Arial" w:cs="Arial"/>
              <w:sz w:val="16"/>
              <w:szCs w:val="16"/>
              <w:lang w:val="en-GB"/>
            </w:rPr>
          </w:pPr>
          <w:r w:rsidRPr="00C4761C">
            <w:rPr>
              <w:rFonts w:ascii="Arial" w:hAnsi="Arial" w:cs="Arial"/>
              <w:sz w:val="16"/>
              <w:szCs w:val="16"/>
              <w:rtl/>
              <w:lang w:val="en-GB"/>
            </w:rPr>
            <w:t xml:space="preserve">هاتف: </w:t>
          </w:r>
          <w:r w:rsidRPr="00C4761C">
            <w:rPr>
              <w:rFonts w:ascii="Arial" w:hAnsi="Arial" w:cs="Arial" w:hint="cs"/>
              <w:sz w:val="16"/>
              <w:szCs w:val="16"/>
              <w:rtl/>
              <w:lang w:val="en-GB"/>
            </w:rPr>
            <w:t>8001180099 تحويلة: 1513</w:t>
          </w:r>
        </w:p>
      </w:tc>
      <w:tc>
        <w:tcPr>
          <w:tcW w:w="317" w:type="dxa"/>
        </w:tcPr>
        <w:p w14:paraId="4E215D9D" w14:textId="77777777" w:rsidR="006C0307" w:rsidRPr="00C4761C" w:rsidRDefault="006C0307" w:rsidP="006C0307">
          <w:pPr>
            <w:pStyle w:val="Presse-Fuzeile"/>
            <w:pBdr>
              <w:bottom w:val="none" w:sz="0" w:space="0" w:color="auto"/>
            </w:pBdr>
            <w:tabs>
              <w:tab w:val="left" w:pos="4253"/>
              <w:tab w:val="left" w:pos="6521"/>
            </w:tabs>
            <w:bidi/>
            <w:rPr>
              <w:rFonts w:ascii="Arial" w:hAnsi="Arial" w:cs="Arial"/>
              <w:sz w:val="16"/>
              <w:szCs w:val="16"/>
              <w:lang w:val="en-GB"/>
            </w:rPr>
          </w:pPr>
        </w:p>
      </w:tc>
      <w:tc>
        <w:tcPr>
          <w:tcW w:w="4500" w:type="dxa"/>
        </w:tcPr>
        <w:p w14:paraId="71111C03" w14:textId="77777777" w:rsidR="006C0307" w:rsidRPr="00C4761C" w:rsidRDefault="006C0307" w:rsidP="006C0307">
          <w:pPr>
            <w:pStyle w:val="Presse-Fuzeile"/>
            <w:pBdr>
              <w:bottom w:val="none" w:sz="0" w:space="0" w:color="auto"/>
            </w:pBdr>
            <w:tabs>
              <w:tab w:val="left" w:pos="6521"/>
            </w:tabs>
            <w:bidi/>
            <w:rPr>
              <w:rFonts w:ascii="Arial" w:hAnsi="Arial" w:cs="Arial"/>
              <w:sz w:val="16"/>
              <w:szCs w:val="16"/>
              <w:lang w:val="en-GB"/>
            </w:rPr>
          </w:pPr>
          <w:r w:rsidRPr="00C4761C">
            <w:rPr>
              <w:rFonts w:ascii="Arial" w:hAnsi="Arial" w:cs="Arial" w:hint="cs"/>
              <w:sz w:val="16"/>
              <w:szCs w:val="16"/>
              <w:rtl/>
              <w:lang w:val="en-GB"/>
            </w:rPr>
            <w:t>الدائري الشمالي، مخرج 2. النخيل</w:t>
          </w:r>
        </w:p>
      </w:tc>
    </w:tr>
    <w:tr w:rsidR="006C0307" w:rsidRPr="00E037AB" w14:paraId="2CA62FE4" w14:textId="77777777" w:rsidTr="009154C4">
      <w:tc>
        <w:tcPr>
          <w:tcW w:w="4469" w:type="dxa"/>
        </w:tcPr>
        <w:p w14:paraId="3576480D" w14:textId="77777777" w:rsidR="006C0307" w:rsidRPr="00C4761C" w:rsidRDefault="006C0307" w:rsidP="006C0307">
          <w:pPr>
            <w:pStyle w:val="Presse-Fuzeile"/>
            <w:pBdr>
              <w:bottom w:val="none" w:sz="0" w:space="0" w:color="auto"/>
            </w:pBdr>
            <w:tabs>
              <w:tab w:val="left" w:pos="4253"/>
              <w:tab w:val="left" w:pos="6521"/>
            </w:tabs>
            <w:bidi/>
            <w:jc w:val="both"/>
            <w:rPr>
              <w:rFonts w:ascii="Arial" w:hAnsi="Arial" w:cs="Arial"/>
              <w:sz w:val="16"/>
              <w:szCs w:val="16"/>
              <w:lang w:val="en-GB"/>
            </w:rPr>
          </w:pPr>
          <w:r w:rsidRPr="00E037AB">
            <w:rPr>
              <w:rFonts w:ascii="Arial" w:hAnsi="Arial" w:cs="Arial" w:hint="eastAsia"/>
              <w:sz w:val="16"/>
              <w:szCs w:val="16"/>
              <w:rtl/>
              <w:lang w:val="en-GB"/>
            </w:rPr>
            <w:t>بريد</w:t>
          </w:r>
          <w:r>
            <w:rPr>
              <w:rFonts w:ascii="Arial" w:hAnsi="Arial" w:cs="Arial" w:hint="cs"/>
              <w:sz w:val="16"/>
              <w:szCs w:val="16"/>
              <w:rtl/>
              <w:lang w:val="en-GB"/>
            </w:rPr>
            <w:t xml:space="preserve"> إ</w:t>
          </w:r>
          <w:r w:rsidRPr="00E037AB">
            <w:rPr>
              <w:rFonts w:ascii="Arial" w:hAnsi="Arial" w:cs="Arial" w:hint="eastAsia"/>
              <w:sz w:val="16"/>
              <w:szCs w:val="16"/>
              <w:rtl/>
              <w:lang w:val="en-GB"/>
            </w:rPr>
            <w:t>لكتروني</w:t>
          </w:r>
          <w:r w:rsidRPr="00E037AB">
            <w:rPr>
              <w:rFonts w:ascii="Arial" w:hAnsi="Arial" w:cs="Arial"/>
              <w:sz w:val="16"/>
              <w:szCs w:val="16"/>
              <w:rtl/>
              <w:lang w:val="en-GB"/>
            </w:rPr>
            <w:t>:</w:t>
          </w:r>
          <w:hyperlink r:id="rId1" w:history="1">
            <w:r w:rsidRPr="00C4761C">
              <w:rPr>
                <w:rFonts w:ascii="Arial" w:hAnsi="Arial" w:cs="Arial"/>
                <w:lang w:val="en-GB"/>
              </w:rPr>
              <w:t>Basyouni.abdelrahman@samaco.com.sa</w:t>
            </w:r>
          </w:hyperlink>
        </w:p>
      </w:tc>
      <w:tc>
        <w:tcPr>
          <w:tcW w:w="317" w:type="dxa"/>
        </w:tcPr>
        <w:p w14:paraId="15B6F756" w14:textId="77777777" w:rsidR="006C0307" w:rsidRPr="00C4761C" w:rsidRDefault="006C0307" w:rsidP="006C0307">
          <w:pPr>
            <w:pStyle w:val="Presse-Fuzeile"/>
            <w:pBdr>
              <w:bottom w:val="none" w:sz="0" w:space="0" w:color="auto"/>
            </w:pBdr>
            <w:tabs>
              <w:tab w:val="left" w:pos="4253"/>
              <w:tab w:val="left" w:pos="6521"/>
            </w:tabs>
            <w:bidi/>
            <w:rPr>
              <w:rFonts w:ascii="Arial" w:hAnsi="Arial" w:cs="Arial"/>
              <w:sz w:val="16"/>
              <w:szCs w:val="16"/>
              <w:lang w:val="en-GB"/>
            </w:rPr>
          </w:pPr>
        </w:p>
      </w:tc>
      <w:tc>
        <w:tcPr>
          <w:tcW w:w="4500" w:type="dxa"/>
        </w:tcPr>
        <w:p w14:paraId="273B6533" w14:textId="77777777" w:rsidR="006C0307" w:rsidRPr="00C4761C" w:rsidRDefault="006C0307" w:rsidP="006C0307">
          <w:pPr>
            <w:pStyle w:val="Presse-Fuzeile"/>
            <w:pBdr>
              <w:bottom w:val="none" w:sz="0" w:space="0" w:color="auto"/>
            </w:pBdr>
            <w:tabs>
              <w:tab w:val="left" w:pos="6521"/>
            </w:tabs>
            <w:bidi/>
            <w:rPr>
              <w:rFonts w:ascii="Arial" w:hAnsi="Arial" w:cs="Arial"/>
              <w:sz w:val="16"/>
              <w:szCs w:val="16"/>
              <w:lang w:val="en-GB"/>
            </w:rPr>
          </w:pPr>
          <w:r w:rsidRPr="00C4761C">
            <w:rPr>
              <w:rFonts w:ascii="Arial" w:hAnsi="Arial" w:cs="Arial" w:hint="cs"/>
              <w:sz w:val="16"/>
              <w:szCs w:val="16"/>
              <w:rtl/>
              <w:lang w:val="en-GB"/>
            </w:rPr>
            <w:t>الرياض</w:t>
          </w:r>
          <w:r w:rsidRPr="00C4761C">
            <w:rPr>
              <w:rFonts w:ascii="Arial" w:hAnsi="Arial" w:cs="Arial"/>
              <w:sz w:val="16"/>
              <w:szCs w:val="16"/>
              <w:rtl/>
              <w:lang w:val="en-GB"/>
            </w:rPr>
            <w:t>، ال</w:t>
          </w:r>
          <w:r w:rsidRPr="00C4761C">
            <w:rPr>
              <w:rFonts w:ascii="Arial" w:hAnsi="Arial" w:cs="Arial" w:hint="cs"/>
              <w:sz w:val="16"/>
              <w:szCs w:val="16"/>
              <w:rtl/>
              <w:lang w:val="en-GB"/>
            </w:rPr>
            <w:t>مملكة العربية السعودية</w:t>
          </w:r>
        </w:p>
      </w:tc>
    </w:tr>
  </w:tbl>
  <w:p w14:paraId="7E7415E4" w14:textId="77777777" w:rsidR="00A57A4D" w:rsidRPr="006C0307" w:rsidRDefault="00A57A4D" w:rsidP="006C0307">
    <w:pPr>
      <w:pStyle w:val="Foo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03F8A" w14:textId="77777777" w:rsidR="005F1ECF" w:rsidRDefault="005F1ECF" w:rsidP="008C249C">
      <w:pPr>
        <w:spacing w:after="0" w:line="240" w:lineRule="auto"/>
      </w:pPr>
      <w:r>
        <w:separator/>
      </w:r>
    </w:p>
  </w:footnote>
  <w:footnote w:type="continuationSeparator" w:id="0">
    <w:p w14:paraId="4BF2C339" w14:textId="77777777" w:rsidR="005F1ECF" w:rsidRDefault="005F1ECF" w:rsidP="008C2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D6895" w14:textId="77777777" w:rsidR="008C249C" w:rsidRPr="00C52787" w:rsidRDefault="008C249C" w:rsidP="008C249C">
    <w:pPr>
      <w:pStyle w:val="Presse-Information"/>
      <w:pBdr>
        <w:bottom w:val="none" w:sz="0" w:space="0" w:color="auto"/>
      </w:pBdr>
      <w:rPr>
        <w:rFonts w:hAnsi="Arial MT" w:cs="Arial"/>
        <w:szCs w:val="32"/>
        <w:lang w:val="en-US"/>
      </w:rPr>
    </w:pPr>
    <w:bookmarkStart w:id="0" w:name="_heading=h.gjdgxs" w:colFirst="0" w:colLast="0"/>
    <w:bookmarkEnd w:id="0"/>
    <w:r>
      <w:rPr>
        <w:noProof/>
      </w:rPr>
      <w:drawing>
        <wp:anchor distT="0" distB="0" distL="114300" distR="114300" simplePos="0" relativeHeight="251659264" behindDoc="0" locked="0" layoutInCell="1" hidden="0" allowOverlap="1" wp14:anchorId="2E266B3F" wp14:editId="12ED2B87">
          <wp:simplePos x="0" y="0"/>
          <wp:positionH relativeFrom="column">
            <wp:posOffset>1905000</wp:posOffset>
          </wp:positionH>
          <wp:positionV relativeFrom="paragraph">
            <wp:posOffset>227965</wp:posOffset>
          </wp:positionV>
          <wp:extent cx="1889760" cy="125730"/>
          <wp:effectExtent l="0" t="0" r="0" b="0"/>
          <wp:wrapSquare wrapText="bothSides" distT="0" distB="0" distL="114300" distR="114300"/>
          <wp:docPr id="2440157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89760" cy="125730"/>
                  </a:xfrm>
                  <a:prstGeom prst="rect">
                    <a:avLst/>
                  </a:prstGeom>
                  <a:ln/>
                </pic:spPr>
              </pic:pic>
            </a:graphicData>
          </a:graphic>
        </wp:anchor>
      </w:drawing>
    </w:r>
  </w:p>
  <w:p w14:paraId="4D720301" w14:textId="77777777" w:rsidR="008C249C" w:rsidRPr="00FB3BAD" w:rsidRDefault="008C249C" w:rsidP="008C249C">
    <w:pPr>
      <w:pStyle w:val="Presse-Information"/>
      <w:pBdr>
        <w:bottom w:val="none" w:sz="0" w:space="0" w:color="auto"/>
      </w:pBdr>
      <w:rPr>
        <w:rFonts w:hAnsi="Arial MT" w:cs="Arial"/>
        <w:szCs w:val="32"/>
      </w:rPr>
    </w:pPr>
  </w:p>
  <w:p w14:paraId="29EA2657" w14:textId="77777777" w:rsidR="008C249C" w:rsidRDefault="008C249C" w:rsidP="008C249C">
    <w:pPr>
      <w:pStyle w:val="Presse-Information"/>
      <w:pBdr>
        <w:bottom w:val="none" w:sz="0" w:space="0" w:color="auto"/>
      </w:pBdr>
      <w:rPr>
        <w:rFonts w:eastAsia="Times New Roman" w:hAnsi="Arial MT" w:cs="Arial"/>
        <w:szCs w:val="32"/>
        <w:rtl/>
      </w:rPr>
    </w:pPr>
  </w:p>
  <w:tbl>
    <w:tblPr>
      <w:tblW w:w="0" w:type="auto"/>
      <w:tblBorders>
        <w:bottom w:val="single" w:sz="4" w:space="0" w:color="auto"/>
      </w:tblBorders>
      <w:tblLook w:val="04A0" w:firstRow="1" w:lastRow="0" w:firstColumn="1" w:lastColumn="0" w:noHBand="0" w:noVBand="1"/>
    </w:tblPr>
    <w:tblGrid>
      <w:gridCol w:w="4643"/>
      <w:gridCol w:w="4643"/>
    </w:tblGrid>
    <w:tr w:rsidR="008C249C" w:rsidRPr="00A359CD" w14:paraId="33F39893" w14:textId="77777777" w:rsidTr="009154C4">
      <w:tc>
        <w:tcPr>
          <w:tcW w:w="4643" w:type="dxa"/>
          <w:vAlign w:val="bottom"/>
        </w:tcPr>
        <w:p w14:paraId="16CD9D71" w14:textId="3026DDB6" w:rsidR="008C249C" w:rsidRPr="000649B8" w:rsidRDefault="00374AD1" w:rsidP="00374AD1">
          <w:pPr>
            <w:pStyle w:val="Presse-Information"/>
            <w:pBdr>
              <w:bottom w:val="none" w:sz="0" w:space="0" w:color="auto"/>
            </w:pBdr>
            <w:bidi/>
            <w:jc w:val="right"/>
            <w:rPr>
              <w:rFonts w:ascii="Arial" w:hAnsi="Arial" w:cs="Arial"/>
              <w:sz w:val="28"/>
              <w:szCs w:val="28"/>
              <w:lang w:bidi="ar-LB"/>
            </w:rPr>
          </w:pPr>
          <w:r w:rsidRPr="000649B8">
            <w:rPr>
              <w:rFonts w:ascii="Arial" w:hAnsi="Arial" w:cs="Arial"/>
              <w:sz w:val="28"/>
              <w:szCs w:val="28"/>
              <w:lang w:bidi="ar-LB"/>
            </w:rPr>
            <w:t>15</w:t>
          </w:r>
          <w:r w:rsidRPr="000649B8">
            <w:rPr>
              <w:rFonts w:ascii="Arial" w:hAnsi="Arial" w:cs="Arial"/>
              <w:sz w:val="28"/>
              <w:szCs w:val="28"/>
              <w:rtl/>
              <w:lang w:bidi="ar-LB"/>
            </w:rPr>
            <w:t xml:space="preserve"> نوفمبر </w:t>
          </w:r>
          <w:r w:rsidRPr="000649B8">
            <w:rPr>
              <w:rFonts w:ascii="Arial" w:hAnsi="Arial" w:cs="Arial"/>
              <w:sz w:val="28"/>
              <w:szCs w:val="28"/>
              <w:lang w:bidi="ar-LB"/>
            </w:rPr>
            <w:t>2025</w:t>
          </w:r>
        </w:p>
      </w:tc>
      <w:tc>
        <w:tcPr>
          <w:tcW w:w="4643" w:type="dxa"/>
          <w:vAlign w:val="bottom"/>
        </w:tcPr>
        <w:p w14:paraId="691DB69D" w14:textId="467ED129" w:rsidR="008C249C" w:rsidRPr="000649B8" w:rsidRDefault="008C249C" w:rsidP="008C249C">
          <w:pPr>
            <w:pStyle w:val="Presse-Information"/>
            <w:pBdr>
              <w:bottom w:val="none" w:sz="0" w:space="0" w:color="auto"/>
            </w:pBdr>
            <w:bidi/>
            <w:rPr>
              <w:rFonts w:ascii="Arial" w:hAnsi="Arial" w:cs="Arial"/>
              <w:color w:val="FF0000"/>
              <w:sz w:val="28"/>
              <w:szCs w:val="28"/>
              <w:rtl/>
              <w:lang w:val="en-US"/>
            </w:rPr>
          </w:pPr>
          <w:r w:rsidRPr="000649B8">
            <w:rPr>
              <w:rFonts w:ascii="Arial" w:hAnsi="Arial" w:cs="Arial"/>
              <w:sz w:val="28"/>
              <w:szCs w:val="28"/>
              <w:rtl/>
              <w:lang w:bidi="ar-LB"/>
            </w:rPr>
            <w:t xml:space="preserve">بيان </w:t>
          </w:r>
          <w:r w:rsidR="000E1F57" w:rsidRPr="000649B8">
            <w:rPr>
              <w:rFonts w:ascii="Arial" w:hAnsi="Arial" w:cs="Arial" w:hint="cs"/>
              <w:sz w:val="28"/>
              <w:szCs w:val="28"/>
              <w:rtl/>
            </w:rPr>
            <w:t>صحفي</w:t>
          </w:r>
        </w:p>
      </w:tc>
    </w:tr>
  </w:tbl>
  <w:p w14:paraId="23311CB1" w14:textId="77777777" w:rsidR="008C249C" w:rsidRPr="008E68B2" w:rsidRDefault="008C249C" w:rsidP="008C249C">
    <w:pPr>
      <w:pStyle w:val="Presse-Information"/>
      <w:pBdr>
        <w:bottom w:val="none" w:sz="0" w:space="0" w:color="auto"/>
      </w:pBdr>
      <w:rPr>
        <w:rFonts w:eastAsia="Times New Roman" w:hAnsi="Arial MT" w:cs="Arial"/>
        <w:sz w:val="18"/>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2E5ABB2"/>
    <w:rsid w:val="000649B8"/>
    <w:rsid w:val="000E1F57"/>
    <w:rsid w:val="001C71AF"/>
    <w:rsid w:val="002462BF"/>
    <w:rsid w:val="002C7CBE"/>
    <w:rsid w:val="002D5C73"/>
    <w:rsid w:val="00320EBD"/>
    <w:rsid w:val="00345E5A"/>
    <w:rsid w:val="00352D02"/>
    <w:rsid w:val="00374AD1"/>
    <w:rsid w:val="003852E0"/>
    <w:rsid w:val="003F56BF"/>
    <w:rsid w:val="00467C13"/>
    <w:rsid w:val="00477538"/>
    <w:rsid w:val="00500675"/>
    <w:rsid w:val="00515F34"/>
    <w:rsid w:val="005A1DCC"/>
    <w:rsid w:val="005F1ECF"/>
    <w:rsid w:val="0069282F"/>
    <w:rsid w:val="006C0307"/>
    <w:rsid w:val="00712A4B"/>
    <w:rsid w:val="008C249C"/>
    <w:rsid w:val="008C36F0"/>
    <w:rsid w:val="008C6CE2"/>
    <w:rsid w:val="008D0C96"/>
    <w:rsid w:val="00A57A4D"/>
    <w:rsid w:val="00A62E3A"/>
    <w:rsid w:val="00AE3C6A"/>
    <w:rsid w:val="00B1422B"/>
    <w:rsid w:val="00B23848"/>
    <w:rsid w:val="00B35C83"/>
    <w:rsid w:val="00C7596C"/>
    <w:rsid w:val="00CA11C2"/>
    <w:rsid w:val="00D6722A"/>
    <w:rsid w:val="00D88C2C"/>
    <w:rsid w:val="00DD01A5"/>
    <w:rsid w:val="00EB1574"/>
    <w:rsid w:val="00EE6C1A"/>
    <w:rsid w:val="00F51D59"/>
    <w:rsid w:val="00F86F07"/>
    <w:rsid w:val="019F1AA7"/>
    <w:rsid w:val="028DEE72"/>
    <w:rsid w:val="0345C00A"/>
    <w:rsid w:val="03AB7C7B"/>
    <w:rsid w:val="03B7406D"/>
    <w:rsid w:val="03F37C4A"/>
    <w:rsid w:val="04B710E0"/>
    <w:rsid w:val="05D44445"/>
    <w:rsid w:val="07DA3DDA"/>
    <w:rsid w:val="081AB0BC"/>
    <w:rsid w:val="08651CA1"/>
    <w:rsid w:val="088424E7"/>
    <w:rsid w:val="0AA0347B"/>
    <w:rsid w:val="0B1FA797"/>
    <w:rsid w:val="0B7E079F"/>
    <w:rsid w:val="0C472B23"/>
    <w:rsid w:val="0C9786AE"/>
    <w:rsid w:val="0D9D9A01"/>
    <w:rsid w:val="0F654412"/>
    <w:rsid w:val="11AB1A6B"/>
    <w:rsid w:val="13BB3717"/>
    <w:rsid w:val="151CC968"/>
    <w:rsid w:val="165D7AFE"/>
    <w:rsid w:val="16799956"/>
    <w:rsid w:val="1A414F81"/>
    <w:rsid w:val="1A5922DB"/>
    <w:rsid w:val="1BA2CA5B"/>
    <w:rsid w:val="1D4C517F"/>
    <w:rsid w:val="1E15AA1F"/>
    <w:rsid w:val="1F4B2C91"/>
    <w:rsid w:val="203E8A9B"/>
    <w:rsid w:val="225DDB51"/>
    <w:rsid w:val="22E5ABB2"/>
    <w:rsid w:val="2571221A"/>
    <w:rsid w:val="258621D4"/>
    <w:rsid w:val="2737F234"/>
    <w:rsid w:val="2AD8894E"/>
    <w:rsid w:val="2B7D5157"/>
    <w:rsid w:val="2D633E8C"/>
    <w:rsid w:val="2E888534"/>
    <w:rsid w:val="31DCDF5F"/>
    <w:rsid w:val="32952DF1"/>
    <w:rsid w:val="33B88611"/>
    <w:rsid w:val="341EF50A"/>
    <w:rsid w:val="3779B02C"/>
    <w:rsid w:val="398D12CE"/>
    <w:rsid w:val="39C8BC55"/>
    <w:rsid w:val="3E3F1661"/>
    <w:rsid w:val="3F7C8939"/>
    <w:rsid w:val="409DC969"/>
    <w:rsid w:val="41C3E3CA"/>
    <w:rsid w:val="43D3BC2F"/>
    <w:rsid w:val="45522641"/>
    <w:rsid w:val="4553FA58"/>
    <w:rsid w:val="4DD78135"/>
    <w:rsid w:val="4E70F946"/>
    <w:rsid w:val="51CBEA32"/>
    <w:rsid w:val="527E229A"/>
    <w:rsid w:val="535A2A8D"/>
    <w:rsid w:val="560AD9A3"/>
    <w:rsid w:val="5824F14B"/>
    <w:rsid w:val="5A79868D"/>
    <w:rsid w:val="5DBBCE52"/>
    <w:rsid w:val="5E2A64F8"/>
    <w:rsid w:val="6063B85E"/>
    <w:rsid w:val="6064818A"/>
    <w:rsid w:val="608D37D0"/>
    <w:rsid w:val="63CBD384"/>
    <w:rsid w:val="64499808"/>
    <w:rsid w:val="64FB2A1C"/>
    <w:rsid w:val="66EAA608"/>
    <w:rsid w:val="67C70C4F"/>
    <w:rsid w:val="69360657"/>
    <w:rsid w:val="6B5E5449"/>
    <w:rsid w:val="6B717C8D"/>
    <w:rsid w:val="6BD3AFF7"/>
    <w:rsid w:val="6EA8F39B"/>
    <w:rsid w:val="6F271471"/>
    <w:rsid w:val="6F3F9FE5"/>
    <w:rsid w:val="70DB88B3"/>
    <w:rsid w:val="7355ED80"/>
    <w:rsid w:val="75F3294F"/>
    <w:rsid w:val="76F18F37"/>
    <w:rsid w:val="78DC5F41"/>
    <w:rsid w:val="79279511"/>
    <w:rsid w:val="7A5B662F"/>
    <w:rsid w:val="7B1917E0"/>
    <w:rsid w:val="7BB6E951"/>
    <w:rsid w:val="7C9DCCC4"/>
    <w:rsid w:val="7F8FCC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5ABB2"/>
  <w15:chartTrackingRefBased/>
  <w15:docId w15:val="{D2C54528-746C-486D-A358-4BC97D7C6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Revision">
    <w:name w:val="Revision"/>
    <w:hidden/>
    <w:uiPriority w:val="99"/>
    <w:semiHidden/>
    <w:rsid w:val="00EB1574"/>
    <w:pPr>
      <w:spacing w:after="0" w:line="240" w:lineRule="auto"/>
    </w:pPr>
  </w:style>
  <w:style w:type="paragraph" w:styleId="Header">
    <w:name w:val="header"/>
    <w:basedOn w:val="Normal"/>
    <w:link w:val="HeaderChar"/>
    <w:uiPriority w:val="99"/>
    <w:unhideWhenUsed/>
    <w:rsid w:val="008C2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49C"/>
  </w:style>
  <w:style w:type="paragraph" w:styleId="Footer">
    <w:name w:val="footer"/>
    <w:basedOn w:val="Normal"/>
    <w:link w:val="FooterChar"/>
    <w:uiPriority w:val="99"/>
    <w:unhideWhenUsed/>
    <w:rsid w:val="008C2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49C"/>
  </w:style>
  <w:style w:type="paragraph" w:customStyle="1" w:styleId="Presse-Information">
    <w:name w:val="Presse-Information"/>
    <w:basedOn w:val="Normal"/>
    <w:rsid w:val="008C249C"/>
    <w:pPr>
      <w:pBdr>
        <w:bottom w:val="single" w:sz="4" w:space="1" w:color="auto"/>
      </w:pBdr>
      <w:tabs>
        <w:tab w:val="right" w:pos="9072"/>
      </w:tabs>
      <w:spacing w:after="0" w:line="240" w:lineRule="auto"/>
    </w:pPr>
    <w:rPr>
      <w:rFonts w:ascii="Arial MT" w:eastAsia="Arial MT" w:hAnsi="Times New Roman" w:cs="Times New Roman"/>
      <w:snapToGrid w:val="0"/>
      <w:sz w:val="32"/>
      <w:szCs w:val="20"/>
      <w:lang w:val="de-DE" w:eastAsia="de-DE"/>
    </w:rPr>
  </w:style>
  <w:style w:type="paragraph" w:customStyle="1" w:styleId="Presse-Fuzeile">
    <w:name w:val="Presse-Fußzeile"/>
    <w:basedOn w:val="Normal"/>
    <w:rsid w:val="006C0307"/>
    <w:pPr>
      <w:pBdr>
        <w:bottom w:val="single" w:sz="4" w:space="1" w:color="auto"/>
      </w:pBdr>
      <w:tabs>
        <w:tab w:val="right" w:pos="9072"/>
      </w:tabs>
      <w:spacing w:after="0" w:line="240" w:lineRule="auto"/>
    </w:pPr>
    <w:rPr>
      <w:rFonts w:ascii="Arial MT" w:eastAsia="Arial MT" w:hAnsi="Times New Roman" w:cs="Times New Roman"/>
      <w:snapToGrid w:val="0"/>
      <w:sz w:val="1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Basyouni.abdelrahman@samaco.com.s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Alabdi</dc:creator>
  <cp:keywords/>
  <dc:description/>
  <cp:lastModifiedBy>Noor Althigah</cp:lastModifiedBy>
  <cp:revision>20</cp:revision>
  <dcterms:created xsi:type="dcterms:W3CDTF">2025-09-28T08:53:00Z</dcterms:created>
  <dcterms:modified xsi:type="dcterms:W3CDTF">2025-11-19T09:36:00Z</dcterms:modified>
</cp:coreProperties>
</file>